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Утверждены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Правительства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9 июля 2016 г. N 649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ПРАВИЛА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ОБЕСПЕЧЕНИЯ УСЛОВИЙ ДОСТУПНОСТИ ДЛЯ ИНВАЛИДОВ ЖИЛЫХ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ПОМЕЩЕНИЙ И ОБЩЕГО ИМУЩЕСТВА В МНОГОКВАРТИРНОМ ДОМЕ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Общие положения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Настоящие Правила применяются к жилым помещениям, входящим в состав жилищного фонда Российской Федерации, жилищного фонда субъектов Российской Федерации, муниципального жилищного фонда, частного жилищного фонда, занимаемым инвалидами и семьями, имеющими детей-инвалидов, и используемым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 (далее - многоквартирный дом, в котором проживает инвалид).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Координацию мероприятий по приспособлению жилых помещений инвалидов с учетом потребностей инвалидов обеспечивают: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отношении жилых помещений инвалидов, входящих в состав жилищного фонда Российской Федерации, - федеральный орган исполнительной власти, осуществляющий полномочия собственника в отношении указанных жилых помещений (далее - уполномоченный федеральный орган);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отношении иных жилых помещений инвалидов - орган государственной власти субъекта Российской Федерации, уполномоченный в соответствии с нормативными правовыми актами субъекта Российской Федерации (далее - уполномоченный орган).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Обеспечение условий доступности жилых помещений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общего имущества в многоквартирном доме для инвалидов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задержками в развитии и другими нарушениями функций организма человека.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Обследование жилых помещений инвалидов и общего имущества в многоквартирных домах, в которых проживают инвалиды, входящих в состав жилищного фонда Российской Федерации, осуществляется федеральной межведомственной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(далее - федеральная комиссия). Указанное обследование проводится в соответствии с планом мероприятий, утвержденным уполномоченным федеральным органом.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Обследование жилых помещений инвалидов и общего имущества в многоквартирных домах, в которых проживают инвалиды, входящих в состав жилищного фонда субъекта Российской Федерации, осуществляется региональной межведомственной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создаваемой уполномоченным органом (далее - региональная комиссия). Указанное обследование проводится в соответствии с планом мероприятий, утвержденным высшим исполнительным органом государственной власти субъекта Российской Федерации.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местного самоуправления (далее - муниципальная комиссия). Указанное обследование проводится в соответствии с планом мероприятий, утвержденным органом местного самоуправления соответствующего муниципального образования.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В состав федеральной комиссии включаются представители: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уполномоченного федерального органа;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органов государственного жилищного надзора;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общественных объединений инвалидов.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В состав региональной комиссии включаются представители: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органов государственного жилищного надзора;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органов исполнительной власти субъекта Российской Федерации, в том числе в сфере социальной защиты населения, в сфере архитектуры и градостроительства;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общественных объединений инвалидов.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В состав муниципальной комиссии включаются представители: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органов муниципального жилищного контроля;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общественных объединений инвалидов.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Порядок создания и работы федеральной комиссии устанавливается уполномоченным федеральным органом, порядок создания и работы региональной и муниципальной комиссий устанавливается уполномоченным органом.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Решения комиссии принимаются большинством голосов членов комиссии.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перечень требований из числа требований, предусмотренных </w:t>
      </w:r>
      <w:hyperlink w:anchor="Par7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разделами III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12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IV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настоящих Правил, которым не соответствует обследуемое жилое помещение инвалида (если такие несоответствия были выявлены);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</w:t>
      </w:r>
      <w:r>
        <w:rPr>
          <w:rFonts w:ascii="Times New Roman" w:hAnsi="Times New Roman" w:cs="Times New Roman"/>
          <w:sz w:val="20"/>
          <w:szCs w:val="20"/>
        </w:rPr>
        <w:lastRenderedPageBreak/>
        <w:t>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Перечень мероприятий может включать в себя: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минимальный перечень мероприятий, финансирование которых осуществляется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w:anchor="Par12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разделом IV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настоящих Правил;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w:anchor="Par7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разделом III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настоящих Правил;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65"/>
      <w:bookmarkEnd w:id="0"/>
      <w:r>
        <w:rPr>
          <w:rFonts w:ascii="Times New Roman" w:hAnsi="Times New Roman" w:cs="Times New Roman"/>
          <w:sz w:val="20"/>
          <w:szCs w:val="20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66"/>
      <w:bookmarkEnd w:id="1"/>
      <w:r>
        <w:rPr>
          <w:rFonts w:ascii="Times New Roman" w:hAnsi="Times New Roman" w:cs="Times New Roman"/>
          <w:sz w:val="20"/>
          <w:szCs w:val="20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68"/>
      <w:bookmarkEnd w:id="2"/>
      <w:r>
        <w:rPr>
          <w:rFonts w:ascii="Times New Roman" w:hAnsi="Times New Roman" w:cs="Times New Roman"/>
          <w:sz w:val="20"/>
          <w:szCs w:val="20"/>
        </w:rPr>
        <w:t>19.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акта обследования;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Par6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подпунктом "а" пункта 17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настоящих Правил.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71"/>
      <w:bookmarkEnd w:id="3"/>
      <w:r>
        <w:rPr>
          <w:rFonts w:ascii="Times New Roman" w:hAnsi="Times New Roman" w:cs="Times New Roman"/>
          <w:sz w:val="20"/>
          <w:szCs w:val="20"/>
        </w:rPr>
        <w:t>20.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а) акта обследования;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Par6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подпунктом "б" пункта 17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настоящих Правил.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22. Для принятия решения о включении мероприятий в план мероприятий заключение, предусмотренное </w:t>
      </w:r>
      <w:hyperlink w:anchor="Par6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пунктом 19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настоящих Правил, в течение 10 дней со дня его вынесения направляется федеральной комиссией в уполномоченный федеральный орган, региональной комиссией - в уполномоченный орган, муниципальной комиссией - главе муниципального образования по месту нахождения жилого помещения инвалида.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4" w:name="Par77"/>
      <w:bookmarkEnd w:id="4"/>
      <w:r>
        <w:rPr>
          <w:rFonts w:ascii="Times New Roman" w:hAnsi="Times New Roman" w:cs="Times New Roman"/>
          <w:sz w:val="20"/>
          <w:szCs w:val="20"/>
        </w:rPr>
        <w:t>III. Требования к доступности жилого помещения и общего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имущества в многоквартирном доме для инвалида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 Территория, примыкающая к многоквартирному дому, в котором проживает инвалид, должна иметь нескользкое и невибрирующее покрытие (дорожное, напольное, лестничное) с шероховатой поверхностью без зазоров для сцепления подошвы обуви, опор вспомогательных средств хождения и колес кресла-коляски в разных погодных условиях.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Толщина швов между плитами покрытия составляет не более 15 миллиметров. Покрытие из рыхлых и сыпучих материалов не допускается.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Перепады уровней покрытия и пороги устраняются путем применения пандусов или уклонов покрытия. Одиночные ступени должны быть заменены пандусами, лестницы должны быть дублированы пандусами.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Продольный уклон пути движения, по которому возможен проезд инвалида на кресле-коляске, не должен превышать 5 процентов, поперечный - 2 процента. При устройстве съезда с тротуара на проезжую часть уклон должен быть не более 1:12, а около многоквартирного дома и в затесненных местах допускается увеличивать продольный уклон до 1:10 на протяжении не более 10 метров.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перепадах горизонтальных поверхностей высотой более 0,45 метра устанавливаются ограждения с поручнями.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 На участке дорожного покрытия перед крыльцом многоквартирного дома, в котором проживает инвалид, оборудуются: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рельефная (тактильная) полоса дорожных указателей шириной 0,5 - 0,6 метра из рельефной тротуарной плитки или аналогичного дорожного покрытия на расстоянии 0,8 метра от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подступенка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нижней ступени марша до ближайшего края рельефной (тактильной) полосы;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разворотная площадка для кресла-коляски перед пандусом размером 1,5 x 1,5 метра;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металлические пандусы, жестко закрепленные на неровных покрытиях или на ступенях лестницы.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 Крыльцо многоквартирного дома, в котором проживает инвалид, и входная площадка должны отвечать следующим требованиям: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уровень пола помещения при входе в здание должен быть нулевой или не более 14 миллиметров со скошенными краями. Дверные проемы не должны иметь порогов и перепадов относительно уровня пола. При необходимости устройства порогов их высота или перепад высот не должны превышать 14 миллиметров;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дренажные и водосборные решетки должны быть на одном уровне с поверхностью покрытия. Ширина просветов их ячеек не должна превышать 13 миллиметров, а длина - 15 миллиметров. Допускается подогрев покрытия крыльца или входной площадки (в соответствии с местными климатическими условиями);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входная площадка при открывании дверей наружу должна быть не менее 1,4 x 2 метра или 1,5 x 1,85 метра;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входная площадка с пандусом должна быть не менее 2,2 x 2,2 метра, поперечный уклон покрытий должен быть в пределах 1 - 2 процентов.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 Лестница крыльца многоквартирного дома, в котором проживает инвалид, должна отвечать следующим требованиям: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число подъемов (ступеней) в одном перепаде уровней должно быть не менее 3 и не более 12;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поверхность ступеней должна иметь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антискользящее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покрытие и быть шероховатой;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ограждения с 2 сторон стационарной лестницы должны быть непрерывными, с 2-уровневыми поручнями на высоте от 0,7 до 0,9 метра, имеющими закругленные окончания, при этом расстояние между ближайшей стеной и поручнем должно быть не менее 50 миллиметров, расстояние между поручнями - не менее 1 метра;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верхняя и нижняя ступени должны выделяться цветом или фактурой;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перед открытой лестницей за 0,8 - 0,9 метра оборудуются предупредительные тактильные полосы шириной 0,3 - 0,5 метра.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 Пандус крыльца многоквартирного дома, в котором проживает инвалид, должен отвечать следующим требованиям: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наклонная часть (марш) пандуса должна иметь сплошную поверхность и длину не более 9 метров;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при устройстве съезда с тротуара на проезжую часть уклон должен быть не более 1:12, около здания допускается увеличить продольный уклон до 1:10 на протяжении не более 10 метров. Перепад высот в местах съезда на проезжую часть не должен превышать 15 миллиметров. Уклон пандуса крыльца должен быть не более 1:20. </w:t>
      </w:r>
      <w:r>
        <w:rPr>
          <w:rFonts w:ascii="Times New Roman" w:hAnsi="Times New Roman" w:cs="Times New Roman"/>
          <w:sz w:val="20"/>
          <w:szCs w:val="20"/>
        </w:rPr>
        <w:lastRenderedPageBreak/>
        <w:t>Пандус с расчетной длиной 36 метров и более или высотой более 3 метров следует заменять подъемными устройствами;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промежуточные горизонтальные площадки при высоте пандуса крыльца более 0,8 метра при прямом движении: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отсутствии поворота или разворота должны иметь ширину не менее 1 метра, глубину до 1,4 метра;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устройстве разворотной площадки для кресла-коляски должны иметь бортик с открытой стороны пандуса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колесоотбойное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устройство высотой 0,1 метра на съезде и промежуточных площадках;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ограждения с 2 сторон пандуса должны быть непрерывными, с 2-уровневыми поручнями на высоте от 0,7 до 0,9 метра, имеющими закругленные окончания. Расстояние между поручнями должно быть от 0,9 до 1 метра, завершающие части поручня должны быть округлого сечения, горизонтальные части поручня должны быть длиннее марша на 0,3 метра;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поверхность пандуса должна быть нескользкой, отчетливо маркированной цветом или текстурой, контрастно отличающейся от прилегающей поверхности.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 Навес крыльца многоквартирного дома, в котором проживает инвалид, должен иметь ограждение от метеорологических осадков и отвод поверхностных стоков, а также приборы электроосвещения.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 Двери для входа в многоквартирный дом, в котором проживает инвалид, и тамбур должны отвечать следующим требованиям: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наружный дверной проем должен иметь ширину не менее 1,2 метра;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входная дверь должна иметь контрастную окраску по краям дверного полотна или наличника;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наружные двери могут иметь пороги, при этом высота каждого элемента порога не должна превышать 14 миллиметров;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наружная дверь оборудуется информационной табличкой с указанием номеров подъезда и квартир, при этом высота символов, контрастно отличающихся цветом от поверхности таблички, составляет не менее 75 миллиметров, а также табличкой с такой же информацией с использованием шрифта Брайля, расположенной на высоте от 0,7 до 0,9 метра;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ширина внутренних дверных и арочных проемов должна быть не менее 0,9 метра, при глубине откоса открытого проема более 1 метра ширина проема должна быть не менее 1,2 метра;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е) двери должны быть оборудованы доводчиками с регулируемым усилием не более 19,5 </w:t>
      </w:r>
      <w:proofErr w:type="spellStart"/>
      <w:r>
        <w:rPr>
          <w:rFonts w:ascii="Times New Roman" w:hAnsi="Times New Roman" w:cs="Times New Roman"/>
          <w:sz w:val="20"/>
          <w:szCs w:val="20"/>
        </w:rPr>
        <w:t>Нм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замедлением динамики открывания и закрывания с задержкой не менее 5 секунд. Допускается применение петель с фиксаторами положений "открыто" и "закрыто";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ж) полотна наружных дверей включают в себя смотровые прозрачные ударопрочные панели с нижней кромкой на высоте 0,5 - 1,2 метра от уровня пола. Нижняя часть стеклянных полотен дверей на высоте не менее 0,3 метра от уровня пола должна быть защищена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противоударной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полосой. На прозрачных полотнах дверей размещается яркая контрастная маркировка, расположенная на уровне не ниже 1,2 метра и не выше 1,5 метра от поверхности пола;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з) в качестве дверных запоров на путях эвакуации устанавливаются ручки нажимного действия. Усилие для открывания двери не должно превышать 50 </w:t>
      </w:r>
      <w:proofErr w:type="spellStart"/>
      <w:r>
        <w:rPr>
          <w:rFonts w:ascii="Times New Roman" w:hAnsi="Times New Roman" w:cs="Times New Roman"/>
          <w:sz w:val="20"/>
          <w:szCs w:val="20"/>
        </w:rPr>
        <w:t>Нм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и) участки пола по пути движения на расстоянии 0,6 метра перед дверными проемами и входами должны иметь тактильные предупреждающие указатели и (или) контрастно окрашенную поверхность. На путях движения предусматриваются световые маячки. Зоны возможной опасности с учетом проекции движения двери обозначаются краской для разметки, цвет которой должен контрастировать с окружающим пространством.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 Тамбур (тамбур-шлюз) в многоквартирных домах при прямом движении и одностороннем открывании дверей должен быть не менее 2,3 метра глубиной и не менее 1,5 метра шириной.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Внеквартирные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коридоры должны иметь ширину не менее 1,5 метра, минимальное пространство для поворота кресла-коляски на 90 градусов - размером 1,2 x 1,2 метра, для разворота на 180 градусов - диаметром 1,4 метра. Высота указанных коридоров должна быть не менее 2,1 метра. Перепады уровней и пороги устраняются путем устройства уклонов покрытий или пандусов, заделки или срезки порогов до высоты не более 25 миллиметров.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ar122"/>
      <w:bookmarkEnd w:id="5"/>
      <w:r>
        <w:rPr>
          <w:rFonts w:ascii="Times New Roman" w:hAnsi="Times New Roman" w:cs="Times New Roman"/>
          <w:sz w:val="20"/>
          <w:szCs w:val="20"/>
        </w:rPr>
        <w:t>IV. Требования по приспособлению жилого помещения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учетом потребностей инвалида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32. Жилое помещение инвалида должно иметь жилую комнату, совмещенный санитарный узел для инвалида, переднюю-холл площадью не менее 4 кв. метров.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33. Ширина пути для движения кресла-коляски в одном направлении должна быть не менее 1,5 метра, минимальный размер площадки для поворота на 90 градусов должен составлять 1,2 x 1,2 метра, диаметр площадки для разворота на 180 градусов - 1,4 метра, высота проходов должна составлять не менее 2,1 метра.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34. Входные, внутренние квартирные и балконные двери должны иметь ширину дверных и арочных проемов не менее 0,9 метра. Входные и балконные двери оснащаются доводчиками с регулируемым усилием не более 19,5 </w:t>
      </w:r>
      <w:proofErr w:type="spellStart"/>
      <w:r>
        <w:rPr>
          <w:rFonts w:ascii="Times New Roman" w:hAnsi="Times New Roman" w:cs="Times New Roman"/>
          <w:sz w:val="20"/>
          <w:szCs w:val="20"/>
        </w:rPr>
        <w:t>Нм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замедлением динамики открывания и закрывания с задержкой не менее 5 секунд.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35. Пороги дверных коробок входных и балконных дверей оснащаются временными съемными инвентарными пандусами (накладными, приставными).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36. Ширина передней-холла и коридора должна быть не менее 1,6 метра, при этом должна обеспечиваться возможность хранения кресла-коляски. Внутриквартирные коридоры должны иметь ширину не менее 1,15 метра.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37. Санитарные узлы должны иметь следующие размеры: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ванная комната или совмещенный санитарный узел - не менее 2,2 x 2,2 метра;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уборная с умывальником (рукомойником) - не менее 1,6 x 2,2 метра;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уборная без умывальника - не менее 1,2 x 1,6 метра при условии открывания двери наружу.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Утверждены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Правительства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9 июля 2016 г. N 649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ИЗМЕНЕНИЯ,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КОТОРЫЕ ВНОСЯТСЯ В АКТЫ ПРАВИТЕЛЬСТВА РОССИЙСКОЙ ФЕДЕРАЦИИ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hyperlink r:id="rId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Предложение первое пункта 54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(Собрание законодательства Российской Федерации, 2006, N 6, ст. 702), изложить в следующей редакции: "Отдельные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w:anchor="Par7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пунктом 20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N 649 "О мерах по приспособлению жилых помещений и общего имущества в многоквартирном доме с учетом потребностей инвалидов".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Внести в </w:t>
      </w:r>
      <w:hyperlink r:id="rId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Правила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3168; 2016, N 1, ст. 244), следующие изменения: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hyperlink r:id="rId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подпункт "д" пункта 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после слов "иное оборудование" дополнить словами ", в том числе конструкции и (или) иное оборудование, предназначенное для обеспечения беспрепятственного доступа инвалидов в помещения многоквартирного дома (далее - оборудование для инвалидов и иных маломобильных групп населения)";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hyperlink r:id="rId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подпункт "в" пункта 10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дополнить словами ", в том числе для инвалидов и иных маломобильных групп населения";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hyperlink r:id="rId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подпункт "в" пункта 24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после слов "иного оборудования" дополнить словами ", в том числе оборудования для инвалидов и иных маломобильных групп населения".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В </w:t>
      </w:r>
      <w:hyperlink r:id="rId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постановлении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выполнения":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минимальный </w:t>
      </w:r>
      <w:hyperlink r:id="rId1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перечень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указанным постановлением, дополнить пунктами 29 и 30 следующего содержания: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 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доступа.";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hyperlink r:id="rId1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подпункт "а" пункта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указанным постановлением, дополнить словами ",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дома".</w:t>
      </w: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3ECB" w:rsidRDefault="002F3ECB" w:rsidP="002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5D01" w:rsidRDefault="002B5D01">
      <w:bookmarkStart w:id="6" w:name="_GoBack"/>
      <w:bookmarkEnd w:id="6"/>
    </w:p>
    <w:sectPr w:rsidR="002B5D01" w:rsidSect="00E170B3">
      <w:pgSz w:w="11906" w:h="16840"/>
      <w:pgMar w:top="850" w:right="850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CB"/>
    <w:rsid w:val="002B5D01"/>
    <w:rsid w:val="002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2D3E-5508-4A71-915A-BE431004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8F8A49BD4455DAA0466B54165E2831F39B7C6AA7FBBB3C81C9E9B0A8C2A444DD5C693AB718FDEiBZ2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A8F8A49BD4455DAA0466B54165E2831F39B7C6AA7FBBB3C81C9E9B0A8C2A444DD5C693AB718FD2iBZ1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A8F8A49BD4455DAA0466B54165E2831F39B7C6AA7FBBB3C81C9E9B0A8C2A444DD5C693AB718FD5iBZ5J" TargetMode="External"/><Relationship Id="rId11" Type="http://schemas.openxmlformats.org/officeDocument/2006/relationships/hyperlink" Target="consultantplus://offline/ref=35A8F8A49BD4455DAA0466B54165E2831F34BBC6AB7DBBB3C81C9E9B0A8C2A444DD5C693AB718EDFiBZ6J" TargetMode="External"/><Relationship Id="rId5" Type="http://schemas.openxmlformats.org/officeDocument/2006/relationships/hyperlink" Target="consultantplus://offline/ref=35A8F8A49BD4455DAA0466B54165E2831F39B7C6AA7FBBB3C81C9E9B0A8C2A444DD5C693AB718FD4iBZ7J" TargetMode="External"/><Relationship Id="rId10" Type="http://schemas.openxmlformats.org/officeDocument/2006/relationships/hyperlink" Target="consultantplus://offline/ref=35A8F8A49BD4455DAA0466B54165E2831F34BBC6AB7DBBB3C81C9E9B0A8C2A444DD5C693AB718FD7iBZ4J" TargetMode="External"/><Relationship Id="rId4" Type="http://schemas.openxmlformats.org/officeDocument/2006/relationships/hyperlink" Target="consultantplus://offline/ref=35A8F8A49BD4455DAA0466B54165E2831F37B8CFA37BBBB3C81C9E9B0A8C2A444DD5C693AB718ED6iBZFJ" TargetMode="External"/><Relationship Id="rId9" Type="http://schemas.openxmlformats.org/officeDocument/2006/relationships/hyperlink" Target="consultantplus://offline/ref=35A8F8A49BD4455DAA0466B54165E2831F34BBC6AB7DBBB3C81C9E9B0Ai8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4747</Words>
  <Characters>27059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1</cp:revision>
  <dcterms:created xsi:type="dcterms:W3CDTF">2016-09-28T09:25:00Z</dcterms:created>
  <dcterms:modified xsi:type="dcterms:W3CDTF">2016-09-28T09:26:00Z</dcterms:modified>
</cp:coreProperties>
</file>